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南阳市政福保工程实施方案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bookmarkEnd w:id="0"/>
    <w:p w14:paraId="66C03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4FB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预防和消除困难群众因急难问题致贫致困的风险，发挥政府兜底救助的作用，在总结七年来政福保工程经验的基础上，市政府决定在全市范围内继续实施政福保工程。根据《社会救助暂行办法》（国务院令第649号）、《国务院关于加快发展现代保险服务业的若干意见》（国发〔2014〕29号）等文件精神，结合工作实际，制定本实施方案。</w:t>
      </w:r>
    </w:p>
    <w:p w14:paraId="081A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1DF5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贯彻落实党中央、国务院，省委、省政府和市委、市政府关于巩固拓展脱贫攻坚成果指导意见精神，织密民生保障网，探索运用社会化、市场化手段，推动社会救助保障工作更加精准、更加高效的新模式。</w:t>
      </w:r>
    </w:p>
    <w:p w14:paraId="2E821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二、政福保工程的范围和内容</w:t>
      </w:r>
    </w:p>
    <w:p w14:paraId="6D511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（一）保险对象</w:t>
      </w:r>
    </w:p>
    <w:p w14:paraId="1CB37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具有南阳市户籍人口；办理南阳市居住证的人口；无居住证但在南阳市企事业单位务工且签订正式劳动合同的人员；非宛户籍在校学生。</w:t>
      </w:r>
    </w:p>
    <w:p w14:paraId="060DA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投保人</w:t>
      </w:r>
    </w:p>
    <w:p w14:paraId="39C76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各县（区）政府（管委会）指定本级民政部门作为投保人，代表上述保险对象参保。</w:t>
      </w:r>
    </w:p>
    <w:p w14:paraId="5BC7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保费投入</w:t>
      </w:r>
    </w:p>
    <w:p w14:paraId="4878D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按照上一年度各县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户籍人数和每人每年1元的标准筹集保险费，各县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及时将保险费拨付承保公司。</w:t>
      </w:r>
    </w:p>
    <w:p w14:paraId="3A6D2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保险期限</w:t>
      </w:r>
    </w:p>
    <w:p w14:paraId="786E3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每年签订一次保险协议，每次协议保险期限为一年。原则上出险案件在事发年度理赔，当年发生的案件，可在次年理赔。</w:t>
      </w:r>
    </w:p>
    <w:p w14:paraId="7FDA1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适用条款</w:t>
      </w:r>
    </w:p>
    <w:p w14:paraId="5B0B4C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《中国人民财产保险股份有限公司政福保政府救助综合责任保险条款》。</w:t>
      </w:r>
    </w:p>
    <w:p w14:paraId="20163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保险内容</w:t>
      </w:r>
    </w:p>
    <w:p w14:paraId="41CB9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在保险有效期限内，保险对象在南阳市行政区域范围内发生的下列事件，保险公司按保险合同约定进行赔付：</w:t>
      </w:r>
    </w:p>
    <w:p w14:paraId="0259B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1.见义勇为伤亡：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县级以上相关部门认定的见义勇为行为，见义勇为者出现人身伤亡，保险公司按照保险合同约定进行赔付。</w:t>
      </w:r>
    </w:p>
    <w:p w14:paraId="2AA61A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2.意外事故伤亡：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房屋倒塌；火灾；食物中毒；煤气沼气等气体造成人员窒息；突发恶性事件（指不特定的人员所进行的不法侵害，造成了重大人员伤亡和重大财产损失，在社会上造成重大影响，属于突发公共安全事件）；高空坠物伤人；拥挤踩踏等7类意外事故造成人员伤亡的，保险公司按照保险合同约定进行赔付。</w:t>
      </w:r>
    </w:p>
    <w:p w14:paraId="1FB55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3.未成年人溺水死亡：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未成年人因溺水死亡，保险公司按照保险合同约定进行赔付。</w:t>
      </w:r>
    </w:p>
    <w:p w14:paraId="7C19A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4.自然灾害伤亡：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由于水灾、风灾、雹灾、雷灾、山体滑坡特定自然灾害（地震除外）原因，导致被保险人重伤或死亡，保险公司按照保险合同约定进行赔付。</w:t>
      </w:r>
    </w:p>
    <w:p w14:paraId="4C17B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5.交通事故伤亡：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发生道路交通事故致人重伤或死亡，肇事逃逸或经相关部门确认肇事者无能力赔偿的，依照《河南省道路交通事故社会救助基金管理办法》先期处理后，保险公司按照保险合同约定进行赔付。</w:t>
      </w:r>
    </w:p>
    <w:p w14:paraId="52DD2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6.救助人员意外伤亡：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对参与灾害事故救助的人员，因现场意外造成救助人员伤亡的，保险公司按照保险合同约定进行赔付。</w:t>
      </w:r>
    </w:p>
    <w:p w14:paraId="3AEF8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7.特困群众重病医疗：</w:t>
      </w:r>
      <w:r>
        <w:rPr>
          <w:rFonts w:hint="eastAsia" w:ascii="仿宋_GB2312" w:hAnsi="仿宋_GB2312" w:eastAsia="仿宋_GB2312" w:cs="仿宋_GB2312"/>
          <w:sz w:val="32"/>
          <w:szCs w:val="32"/>
        </w:rPr>
        <w:t>脱贫享受政策户及风险未消除监测对象、低保户、特困供养人员，虽经各类救助等政策帮扶，仍然入不敷出、无法摆脱困境的人员（具体由民政部门认定），因特大疾病住院，经三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重制度保障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（居民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</w:t>
      </w:r>
      <w:r>
        <w:rPr>
          <w:rFonts w:hint="eastAsia" w:ascii="仿宋_GB2312" w:hAnsi="仿宋_GB2312" w:eastAsia="仿宋_GB2312" w:cs="仿宋_GB2312"/>
          <w:sz w:val="32"/>
          <w:szCs w:val="32"/>
        </w:rPr>
        <w:t>医保、大病保险、医疗救助）报销后剩余部分，符合医疗报销规定的费用，保险公司按照保险合同约定进行赔付。</w:t>
      </w:r>
    </w:p>
    <w:p w14:paraId="2E6AA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8.突发意外或重大疾病致贫致困：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我市群众因突发意外或重大疾病，导致成为低保户或困难群众的（由民政部门认定），保险公司根据实际情况给予救助。</w:t>
      </w:r>
    </w:p>
    <w:p w14:paraId="681E0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（七）赔付额度</w:t>
      </w:r>
    </w:p>
    <w:p w14:paraId="7BB38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1.见义勇为伤亡：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伤残死亡限额20万元/人；医疗费用限额4万元/人；</w:t>
      </w:r>
    </w:p>
    <w:p w14:paraId="11185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2.意外事故伤亡：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伤残死亡限额5万元/人；医疗费用限额5000元/人。火灾、危房造成财产损失最高限额：农村1000元/户，城镇2000元/户；</w:t>
      </w:r>
    </w:p>
    <w:p w14:paraId="1B01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3.未成年人溺水死亡：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死亡限额5万元/人；</w:t>
      </w:r>
    </w:p>
    <w:p w14:paraId="6818B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4.自然灾害伤亡：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每人伤亡限额5万元，医疗费最高5000元/人； </w:t>
      </w:r>
    </w:p>
    <w:p w14:paraId="32D18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5.救助人员意外伤亡：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每人伤亡残疾限额5万元，医疗费最高5000元/人； </w:t>
      </w:r>
    </w:p>
    <w:p w14:paraId="2D9AB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6.交通事故伤亡：</w:t>
      </w:r>
      <w:r>
        <w:rPr>
          <w:rFonts w:hint="eastAsia" w:ascii="仿宋_GB2312" w:hAnsi="仿宋_GB2312" w:eastAsia="仿宋_GB2312" w:cs="仿宋_GB2312"/>
          <w:sz w:val="32"/>
          <w:szCs w:val="32"/>
        </w:rPr>
        <w:t>伤亡救助金分年龄段赔付1万—5万元／人；</w:t>
      </w:r>
    </w:p>
    <w:p w14:paraId="55F81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7.特困群众重病医疗：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级报销后剩余部分在2000元以内的，按合规自付金额报销；在2000元以上的，按合规自付金额的80%报销，报销金额最高5000元。</w:t>
      </w:r>
    </w:p>
    <w:p w14:paraId="61C7F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8.突发意外或重大疾病致贫致困：</w:t>
      </w:r>
      <w:r>
        <w:rPr>
          <w:rFonts w:hint="eastAsia" w:ascii="仿宋_GB2312" w:hAnsi="仿宋_GB2312" w:eastAsia="仿宋_GB2312" w:cs="仿宋_GB2312"/>
          <w:sz w:val="32"/>
          <w:szCs w:val="32"/>
        </w:rPr>
        <w:t>因突发意外或重大疾病致贫致困的，根据实际情况给予2000-5000元救助金。</w:t>
      </w:r>
    </w:p>
    <w:p w14:paraId="619B8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三、理赔办法及工作流程</w:t>
      </w:r>
    </w:p>
    <w:p w14:paraId="61E30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市、县、乡三级政福保工程办事人员是政福保工程的具体实施者；财险公司是政福保理赔的具体办理者；村级协保员是政福保理赔的协助者。以上三方协同办理政福保理赔事宜，其工作流程如下：</w:t>
      </w:r>
    </w:p>
    <w:p w14:paraId="4561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县区工作流程</w:t>
      </w:r>
    </w:p>
    <w:p w14:paraId="1F1F9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1.乡镇受理：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村级协保员收集政福保理赔案件信息，上报乡镇（街道）政福保办事人员；乡镇（街道）政福保工程办事人员也可通过报案电话受理政福保理赔案件。</w:t>
      </w:r>
    </w:p>
    <w:p w14:paraId="517FD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2.初审移交：</w:t>
      </w:r>
      <w:r>
        <w:rPr>
          <w:rFonts w:hint="eastAsia" w:ascii="仿宋_GB2312" w:hAnsi="仿宋_GB2312" w:eastAsia="仿宋_GB2312" w:cs="仿宋_GB2312"/>
          <w:sz w:val="32"/>
          <w:szCs w:val="32"/>
        </w:rPr>
        <w:t>乡镇（街道）政福保工程办事人员进行初审，基本确定保人、保事、保项的基本内容。两日内移交财险公司，同时上报县（区）负责政福保工程工作办公室。</w:t>
      </w:r>
    </w:p>
    <w:p w14:paraId="7C7AF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3.专人办理：</w:t>
      </w:r>
      <w:r>
        <w:rPr>
          <w:rFonts w:hint="eastAsia" w:ascii="仿宋_GB2312" w:hAnsi="仿宋_GB2312" w:eastAsia="仿宋_GB2312" w:cs="仿宋_GB2312"/>
          <w:sz w:val="32"/>
          <w:szCs w:val="32"/>
        </w:rPr>
        <w:t>财险公司受理后，即指定理赔经理，并回执乡镇（街道）政福保工程办事人员，乡镇（街道）政福保工程办事人员同时告知被保人或家属理赔经理联系方式。当日理赔经理要到现场查勘处理，两日内会同村级协保员、被保人或家属收集、整理好所需证据材料，上报县（区）财险公司。</w:t>
      </w:r>
    </w:p>
    <w:p w14:paraId="407A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4.按期赔付：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县（区）财险公司按规定在理赔资料齐全后，七个工作日内将赔付资金支付到被赔付人银行卡。</w:t>
      </w:r>
    </w:p>
    <w:p w14:paraId="516E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5.特事特办：</w:t>
      </w:r>
      <w:r>
        <w:rPr>
          <w:rFonts w:hint="eastAsia" w:ascii="仿宋_GB2312" w:hAnsi="仿宋_GB2312" w:eastAsia="仿宋_GB2312" w:cs="仿宋_GB2312"/>
          <w:sz w:val="32"/>
          <w:szCs w:val="32"/>
        </w:rPr>
        <w:t>确需研究确定的事项，由市、县负责政福保工程工作的办公室研究确定，原则上理赔不得超过十五天。</w:t>
      </w:r>
    </w:p>
    <w:p w14:paraId="2730D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6.回访汇总：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所有理赔事项均在赔付到位当日内回访，填写评价意见卡，市、县、乡三级负责政福保工程工作的办公室按月汇总情况，当月分级进行上报。</w:t>
      </w:r>
    </w:p>
    <w:p w14:paraId="307E2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（二）市直成员单位工作流程</w:t>
      </w:r>
    </w:p>
    <w:p w14:paraId="28CED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直部门业务内发生符合政福保赔付条件的案件后，由本部门联络员第一时间整理汇总相关资料，报市负责政福保工程办公室，由市负责政福保工程办公室审核后，移交财险公司办理，并确保在7个工作日内完成赔付。</w:t>
      </w:r>
    </w:p>
    <w:p w14:paraId="28964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政福保理赔所需资料：一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是涉及死亡的：</w:t>
      </w:r>
      <w:r>
        <w:rPr>
          <w:rFonts w:hint="eastAsia" w:ascii="仿宋_GB2312" w:hAnsi="仿宋_GB2312" w:eastAsia="仿宋_GB2312" w:cs="仿宋_GB2312"/>
          <w:sz w:val="32"/>
          <w:szCs w:val="32"/>
        </w:rPr>
        <w:t>1.相关民政、公安主管部门出具的事故证明；2.死亡证明；3.户口注销证明；4.火化证明；5.身份证、户口簿复印件；6.受益人相关身份证明材料及银行账户。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二是涉及伤残的：</w:t>
      </w:r>
      <w:r>
        <w:rPr>
          <w:rFonts w:hint="eastAsia" w:ascii="仿宋_GB2312" w:hAnsi="仿宋_GB2312" w:eastAsia="仿宋_GB2312" w:cs="仿宋_GB2312"/>
          <w:sz w:val="32"/>
          <w:szCs w:val="32"/>
        </w:rPr>
        <w:t>1.相关民政、公安主管部门出具的事故证明；2.二级及以上医院诊断证明及病历复印件；3.司法部门或保险人认可的具有鉴定资质的医疗机构、保险人认可的具有鉴定资质的其他鉴定机构出具的残疾鉴定书；4.身份证、户口簿复印件或居住证、劳务合同、学校证明。5.领款人银行账户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三是涉及医疗费赔付范围的：</w:t>
      </w:r>
      <w:r>
        <w:rPr>
          <w:rFonts w:hint="eastAsia" w:ascii="仿宋_GB2312" w:hAnsi="仿宋_GB2312" w:eastAsia="仿宋_GB2312" w:cs="仿宋_GB2312"/>
          <w:sz w:val="32"/>
          <w:szCs w:val="32"/>
        </w:rPr>
        <w:t>1.相关民政、公安主管部门出具的事故证明；2.二级及以上医院发票、诊断证明、用药清单、住院证、出院证、病历复印件；3.身份证、户口簿复印件；4.领款人银行账户。</w:t>
      </w:r>
    </w:p>
    <w:p w14:paraId="26502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四、工作要求</w:t>
      </w:r>
    </w:p>
    <w:p w14:paraId="1DBC3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（一）加强组织领导</w:t>
      </w:r>
    </w:p>
    <w:p w14:paraId="70C1A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级政府各有关部门的主要负责同志作为本地、本部门全面实施政福保工程的第一责任人，要切实加强对本地、本部门政福保工程工作的领导，做好政福保工程的组织实施工作，定期听取有关工作情况汇报，及时研究解决工作中的重大问题，确保工作有方案、部署有进度、推进有标准、结果有考核。</w:t>
      </w:r>
    </w:p>
    <w:p w14:paraId="35AB6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加强舆论宣传</w:t>
      </w:r>
    </w:p>
    <w:p w14:paraId="75A0B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地各有关部门要采取以会代训的形式，开展政福保工程专题学习培训，加强业务交流。要通过政府网站、新闻发布会以及报刊、广播、电视、网络、新媒体等方式，广泛宣传实施政福保工程的重要意义、主要做法、典型经验和实施效果，为全面推行政福保工程营造良好的社会氛围。</w:t>
      </w:r>
    </w:p>
    <w:p w14:paraId="443B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落实部门责任</w:t>
      </w:r>
    </w:p>
    <w:p w14:paraId="40507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政福保工程成员单位，明确1名联络员，具体负责本部门案件受理，资料汇总整理等工作。急难事件相对高发的部门要成立专班，专人负责，建立政福保理赔直通车制度。各有关部门要切实履行职责，密切合作、通力协作，形成合力，真正把政福保工程打造成温暖工程、德政工程、民心工程。</w:t>
      </w:r>
    </w:p>
    <w:p w14:paraId="0F9C6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强化跟踪问效</w:t>
      </w:r>
    </w:p>
    <w:p w14:paraId="3732E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政福保工程成员单位建立一月一通报，一季度一评比，一年一考评工作机制，适时对各地各有关单位工作开展情况、赔付情况进行督导。各级政府要把政福保工程推进情况纳入政府目标考评体系。建立工作情况通报制度，对工作中出现问题造成不良后果的单位和人员要通报批评。工作落实不力的，由督查局列入重点督办。民政部门要注重培养推行政福保的典型，按规定对先进单位和个人予以表扬，充分调动全面推行政福保的积极性、主动性。财险公司要对推行情况进行评估，及时研究解决出现的新情况、新问题，确保各项工作落实到位。</w:t>
      </w:r>
    </w:p>
    <w:p w14:paraId="148A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加强组织纪律</w:t>
      </w:r>
    </w:p>
    <w:p w14:paraId="7AE3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、县、乡三级要设立政福保工作监督举报电话，接受社会监督，确保政福保工程公开公平公正。对于工作中漠视民苦、优亲厚友、弄虚作假、推诿应付、违背程序、降低标准、拖延办理时间、人为设置障碍、相关部门不及时提供证明材料等侵害群众利益的行为，情节较轻的给予通报批评、责令整改；情节较重的，启动问责程序，依法依规予以问责。</w:t>
      </w:r>
    </w:p>
    <w:p w14:paraId="77F6F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D3E19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left"/>
        <w:textAlignment w:val="top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03BC87C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6B953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CC2655"/>
    <w:rsid w:val="33C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2026-05-26T08:56:00Z</dcterms:created>
  <dc:creator>不做牛马</dc:creator>
  <cp:lastModifiedBy>不做牛马</cp:lastModifiedBy>
  <dcterms:modified xsi:type="dcterms:W3CDTF">2026-05-26T08:56:40Z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53746259D180496184073A3F55D79D88_11</vt:lpwstr>
  </property>
  <property fmtid="{D5CDD505-2E9C-101B-9397-08002B2CF9AE}" pid="4" name="KSOTemplateDocerSaveRecord">
    <vt:lpwstr>eyJoZGlkIjoiOTY2OWRlMmM3Y2QwMGIyNzVjYzQzODk0MGRhYmRhMjAiLCJ1c2VySWQiOiIyMjc5OTIzODAifQ==</vt:lpwstr>
  </property>
</Properties>
</file>